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gif" ContentType="image/gi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49" w:type="dxa"/>
        <w:jc w:val="left"/>
        <w:tblInd w:w="93" w:type="dxa"/>
        <w:tblBorders/>
        <w:tblCellMar>
          <w:top w:w="0" w:type="dxa"/>
          <w:left w:w="108" w:type="dxa"/>
          <w:bottom w:w="0" w:type="dxa"/>
          <w:right w:w="108" w:type="dxa"/>
        </w:tblCellMar>
      </w:tblPr>
      <w:tblGrid>
        <w:gridCol w:w="2862"/>
        <w:gridCol w:w="7287"/>
      </w:tblGrid>
      <w:tr>
        <w:trPr>
          <w:trHeight w:val="2760" w:hRule="atLeast"/>
        </w:trPr>
        <w:tc>
          <w:tcPr>
            <w:tcW w:w="2862" w:type="dxa"/>
            <w:tcBorders/>
            <w:shd w:fill="auto" w:val="clear"/>
          </w:tcPr>
          <w:p>
            <w:pPr>
              <w:pStyle w:val="Normal"/>
              <w:spacing w:lineRule="auto" w:line="240"/>
              <w:jc w:val="center"/>
              <w:rPr/>
            </w:pPr>
            <w:r>
              <w:rPr>
                <w:rFonts w:cs="Arial" w:ascii="Arial" w:hAnsi="Arial"/>
                <w:color w:val="FFFFFF"/>
                <w:sz w:val="24"/>
                <w:szCs w:val="24"/>
                <w:lang w:val="en-US"/>
              </w:rPr>
              <w:t>251 ΓΕΝΙΚΟ ΝΟΣΟ</w:t>
            </w:r>
            <w:r>
              <w:rPr>
                <w:rFonts w:cs="Arial" w:ascii="Arial" w:hAnsi="Arial"/>
                <w:color w:val="FFFFFF"/>
                <w:sz w:val="24"/>
                <w:szCs w:val="24"/>
                <w:lang w:val="en-US"/>
              </w:rPr>
              <w:drawing>
                <wp:inline distT="0" distB="127000" distL="0" distR="0">
                  <wp:extent cx="649605" cy="75882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649605" cy="758825"/>
                          </a:xfrm>
                          <a:prstGeom prst="rect">
                            <a:avLst/>
                          </a:prstGeom>
                          <a:noFill/>
                          <a:ln w="9525">
                            <a:noFill/>
                            <a:miter lim="800000"/>
                            <a:headEnd/>
                            <a:tailEnd/>
                          </a:ln>
                        </pic:spPr>
                      </pic:pic>
                    </a:graphicData>
                  </a:graphic>
                </wp:inline>
              </w:drawing>
            </w:r>
            <w:r>
              <w:rPr>
                <w:rFonts w:cs="Arial" w:ascii="Arial" w:hAnsi="Arial"/>
                <w:color w:val="FFFFFF"/>
                <w:sz w:val="24"/>
                <w:szCs w:val="24"/>
                <w:lang w:val="en-US"/>
              </w:rPr>
              <w:t>ΚΟΜΕΙΟ ΑΕΡΟΠΟΡΙΑΣ</w:t>
            </w:r>
          </w:p>
        </w:tc>
        <w:tc>
          <w:tcPr>
            <w:tcW w:w="7287" w:type="dxa"/>
            <w:tcBorders/>
            <w:shd w:fill="auto" w:val="clear"/>
          </w:tcPr>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251 ΓΕΝΙΚΟ ΝΟΣΟΚΟΜΕΙΟ ΑΕΡΟΠΟΡΙΑΣ</w:t>
            </w:r>
          </w:p>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ΔΙΕΥΘΥΝΣΗ ΝΟΣΗΛΕΥΤΙΚΗΣ ΥΠΗΡΕΣΙΑΣ</w:t>
            </w:r>
          </w:p>
          <w:p>
            <w:pPr>
              <w:pStyle w:val="Normal"/>
              <w:spacing w:lineRule="auto" w:line="240"/>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ΙΑΝΟΥΑΡΙΟΣ  2021 </w:t>
            </w:r>
          </w:p>
        </w:tc>
      </w:tr>
    </w:tbl>
    <w:p>
      <w:pPr>
        <w:pStyle w:val="Normal"/>
        <w:pBdr>
          <w:top w:val="single" w:sz="4" w:space="1" w:color="00000A"/>
          <w:left w:val="single" w:sz="4" w:space="4" w:color="00000A"/>
          <w:bottom w:val="single" w:sz="4" w:space="1" w:color="00000A"/>
          <w:right w:val="single" w:sz="4" w:space="4" w:color="00000A"/>
        </w:pBdr>
        <w:spacing w:lineRule="auto" w:line="240"/>
        <w:jc w:val="center"/>
        <w:rPr>
          <w:rFonts w:ascii="Arial" w:hAnsi="Arial" w:cs="Arial"/>
          <w:b/>
          <w:b/>
          <w:sz w:val="26"/>
          <w:szCs w:val="26"/>
        </w:rPr>
      </w:pPr>
      <w:r>
        <w:rPr>
          <w:rFonts w:cs="Arial" w:ascii="Arial" w:hAnsi="Arial"/>
          <w:b/>
          <w:sz w:val="26"/>
          <w:szCs w:val="26"/>
        </w:rPr>
        <w:t>ΤΕΧΝΙΚΗ ΠΕΡΙΓΡΑΦΗ</w:t>
      </w:r>
    </w:p>
    <w:p>
      <w:pPr>
        <w:pStyle w:val="Normal"/>
        <w:pBdr>
          <w:top w:val="single" w:sz="4" w:space="1" w:color="00000A"/>
          <w:left w:val="single" w:sz="4" w:space="4" w:color="00000A"/>
          <w:bottom w:val="single" w:sz="4" w:space="1" w:color="00000A"/>
          <w:right w:val="single" w:sz="4" w:space="4" w:color="00000A"/>
        </w:pBdr>
        <w:jc w:val="center"/>
        <w:rPr/>
      </w:pPr>
      <w:r>
        <w:rPr>
          <w:rFonts w:cs="Arial" w:ascii="Arial" w:hAnsi="Arial"/>
          <w:b/>
          <w:sz w:val="26"/>
          <w:szCs w:val="26"/>
        </w:rPr>
        <w:t>ΓΙΑ   ΣΥΣΚΕΥΗ ΟΓΚΟΜΕΤΡΙΚΗ  100</w:t>
      </w:r>
      <w:r>
        <w:rPr>
          <w:rFonts w:cs="Arial" w:ascii="Arial" w:hAnsi="Arial"/>
          <w:b/>
          <w:sz w:val="26"/>
          <w:szCs w:val="26"/>
          <w:lang w:val="en-US"/>
        </w:rPr>
        <w:t>cc</w:t>
      </w:r>
      <w:r>
        <w:rPr>
          <w:rFonts w:cs="Arial" w:ascii="Arial" w:hAnsi="Arial"/>
          <w:b/>
          <w:sz w:val="26"/>
          <w:szCs w:val="26"/>
        </w:rPr>
        <w:t xml:space="preserve">  ΜΕ ΦΙΛΤΡΟ ΓΙΑ ΧΟΡΗΓΗΣΗ ΜΑΝΙΤΟΛΗΣ</w:t>
      </w:r>
    </w:p>
    <w:p>
      <w:pPr>
        <w:pStyle w:val="ListParagraph"/>
        <w:numPr>
          <w:ilvl w:val="0"/>
          <w:numId w:val="2"/>
        </w:numPr>
        <w:spacing w:lineRule="auto" w:line="240" w:before="0" w:after="0"/>
        <w:ind w:left="0" w:right="0" w:hanging="0"/>
        <w:rPr>
          <w:rFonts w:ascii="Arial" w:hAnsi="Arial" w:cs="Arial"/>
          <w:sz w:val="26"/>
          <w:szCs w:val="26"/>
        </w:rPr>
      </w:pPr>
      <w:r>
        <w:rPr>
          <w:rFonts w:cs="Arial" w:ascii="Arial" w:hAnsi="Arial"/>
          <w:sz w:val="26"/>
          <w:szCs w:val="26"/>
        </w:rPr>
        <w:t>Να είναι μίας χρήσεως, αποστειρωμένη, μη τοξική, ελεύθερη πυρετογόνων, latex free.</w:t>
      </w:r>
    </w:p>
    <w:p>
      <w:pPr>
        <w:pStyle w:val="ListParagraph"/>
        <w:widowControl w:val="false"/>
        <w:numPr>
          <w:ilvl w:val="0"/>
          <w:numId w:val="2"/>
        </w:numPr>
        <w:spacing w:lineRule="auto" w:line="240" w:before="0" w:after="0"/>
        <w:ind w:left="0" w:right="0" w:hanging="0"/>
        <w:rPr>
          <w:rFonts w:ascii="Arial" w:hAnsi="Arial"/>
          <w:sz w:val="26"/>
          <w:szCs w:val="26"/>
        </w:rPr>
      </w:pPr>
      <w:r>
        <w:rPr>
          <w:rFonts w:ascii="Arial" w:hAnsi="Arial"/>
          <w:sz w:val="26"/>
          <w:szCs w:val="26"/>
        </w:rPr>
        <w:t xml:space="preserve">Να είναι λεία, απαλλαγμένη από ξένα σώματα, κατασκευασμένη από πλαστικό (PVC) ιατρικού τύπου σύμφωνα με τις τεχνικές περιγραφές του ΕΟΦ και των Ευρωπαϊκών και Διεθνών προτύπων. Να είναι ελεύθερη από </w:t>
      </w:r>
      <w:r>
        <w:rPr>
          <w:rFonts w:ascii="Arial" w:hAnsi="Arial"/>
          <w:sz w:val="26"/>
          <w:szCs w:val="26"/>
          <w:lang w:val="en-US"/>
        </w:rPr>
        <w:t xml:space="preserve">DEHP. </w:t>
      </w:r>
    </w:p>
    <w:p>
      <w:pPr>
        <w:pStyle w:val="ListParagraph"/>
        <w:numPr>
          <w:ilvl w:val="0"/>
          <w:numId w:val="2"/>
        </w:numPr>
        <w:spacing w:lineRule="auto" w:line="240" w:before="0" w:after="0"/>
        <w:ind w:left="0" w:right="0" w:hanging="0"/>
        <w:rPr>
          <w:rFonts w:ascii="Arial" w:hAnsi="Arial"/>
          <w:sz w:val="26"/>
          <w:szCs w:val="26"/>
        </w:rPr>
      </w:pPr>
      <w:r>
        <w:rPr>
          <w:rFonts w:ascii="Arial" w:hAnsi="Arial"/>
          <w:sz w:val="26"/>
          <w:szCs w:val="26"/>
        </w:rPr>
        <w:t>Να διαθέτει διατρητικό ρύγχος κωνικού σχήματος από ανθεκτικό πλαστικό για εύκολη διάτρηση του ορού  και προέκταση περίπου 20 cm με ενσωματωμένο κλείστρο ασφαλείας και προστατευτικό κάλυμμα.</w:t>
      </w:r>
    </w:p>
    <w:p>
      <w:pPr>
        <w:pStyle w:val="ListParagraph"/>
        <w:numPr>
          <w:ilvl w:val="0"/>
          <w:numId w:val="2"/>
        </w:numPr>
        <w:spacing w:lineRule="auto" w:line="240" w:before="0" w:after="0"/>
        <w:ind w:left="0" w:right="0" w:hanging="0"/>
        <w:rPr/>
      </w:pPr>
      <w:r>
        <w:rPr>
          <w:rFonts w:ascii="Arial" w:hAnsi="Arial"/>
          <w:sz w:val="26"/>
          <w:szCs w:val="26"/>
        </w:rPr>
        <w:t>Να διαθέτει ογκομετρικό κύλινδρο περιεκτικότητας 100</w:t>
      </w:r>
      <w:r>
        <w:rPr>
          <w:rFonts w:ascii="Arial" w:hAnsi="Arial"/>
          <w:sz w:val="26"/>
          <w:szCs w:val="26"/>
          <w:lang w:val="en-US"/>
        </w:rPr>
        <w:t>cc</w:t>
      </w:r>
      <w:r>
        <w:rPr>
          <w:rFonts w:ascii="Arial" w:hAnsi="Arial"/>
          <w:sz w:val="26"/>
          <w:szCs w:val="26"/>
        </w:rPr>
        <w:t>, ο οποίος:</w:t>
      </w:r>
    </w:p>
    <w:p>
      <w:pPr>
        <w:pStyle w:val="ListParagraph"/>
        <w:spacing w:lineRule="auto" w:line="240" w:before="0" w:after="0"/>
        <w:ind w:left="0" w:right="0" w:hanging="0"/>
        <w:rPr>
          <w:rFonts w:ascii="Arial" w:hAnsi="Arial"/>
          <w:sz w:val="26"/>
          <w:szCs w:val="26"/>
        </w:rPr>
      </w:pPr>
      <w:r>
        <w:rPr>
          <w:rFonts w:ascii="Arial" w:hAnsi="Arial"/>
          <w:sz w:val="26"/>
          <w:szCs w:val="26"/>
        </w:rPr>
        <w:t xml:space="preserve">      </w:t>
      </w:r>
      <w:r>
        <w:rPr>
          <w:rFonts w:ascii="Arial" w:hAnsi="Arial"/>
          <w:sz w:val="26"/>
          <w:szCs w:val="26"/>
        </w:rPr>
        <w:t>α. Να φέρει στην άνω εξωτερική επιφάνειά του αεραγωγό με φίλτρο και κλείστρο ασφαλείας καθώς και υποδοχή τύπου flash ball latex για τον εμπλουτισμό των διαλυμάτων.</w:t>
      </w:r>
    </w:p>
    <w:p>
      <w:pPr>
        <w:pStyle w:val="ListParagraph"/>
        <w:spacing w:lineRule="auto" w:line="240" w:before="0" w:after="0"/>
        <w:ind w:left="0" w:right="0" w:hanging="0"/>
        <w:rPr/>
      </w:pPr>
      <w:r>
        <w:rPr>
          <w:rFonts w:ascii="Arial" w:hAnsi="Arial"/>
          <w:sz w:val="26"/>
          <w:szCs w:val="26"/>
        </w:rPr>
        <w:t xml:space="preserve">     </w:t>
      </w:r>
      <w:r>
        <w:rPr>
          <w:rFonts w:ascii="Arial" w:hAnsi="Arial"/>
          <w:sz w:val="26"/>
          <w:szCs w:val="26"/>
        </w:rPr>
        <w:t>β. Να φέρει ειδικό διηθητικό φίλτρο με ηθμό 200-270 μm και διηθητική επιφάνεια τουλάχιστον 15 cm</w:t>
      </w:r>
      <w:r>
        <w:rPr>
          <w:rFonts w:ascii="Arial" w:hAnsi="Arial"/>
          <w:sz w:val="26"/>
          <w:szCs w:val="26"/>
          <w:vertAlign w:val="superscript"/>
        </w:rPr>
        <w:t>2</w:t>
      </w:r>
      <w:r>
        <w:rPr>
          <w:rFonts w:ascii="Arial" w:hAnsi="Arial"/>
          <w:sz w:val="26"/>
          <w:szCs w:val="26"/>
        </w:rPr>
        <w:t xml:space="preserve"> για την κατακράτηση των κρυστάλλων της μαννιτόλης στην άνω εσωτερική επιφάνεια του ογκομετρικού θαλάμου, είτε να είναι ενσωματωμένο στον σταγονοθάλαμο.</w:t>
      </w:r>
    </w:p>
    <w:p>
      <w:pPr>
        <w:pStyle w:val="ListParagraph"/>
        <w:spacing w:lineRule="auto" w:line="240" w:before="0" w:after="0"/>
        <w:ind w:left="0" w:right="0" w:hanging="0"/>
        <w:rPr>
          <w:rFonts w:ascii="Arial" w:hAnsi="Arial"/>
          <w:sz w:val="26"/>
          <w:szCs w:val="26"/>
        </w:rPr>
      </w:pPr>
      <w:r>
        <w:rPr>
          <w:rFonts w:ascii="Arial" w:hAnsi="Arial"/>
          <w:sz w:val="26"/>
          <w:szCs w:val="26"/>
        </w:rPr>
        <w:t xml:space="preserve">    </w:t>
      </w:r>
      <w:r>
        <w:rPr>
          <w:rFonts w:ascii="Arial" w:hAnsi="Arial"/>
          <w:sz w:val="26"/>
          <w:szCs w:val="26"/>
        </w:rPr>
        <w:t>γ. Να φέρει στην κάτω εσωτερική επιφάνεια επιπλέουσα βαλβίδα ασφαλείας που να μην επιτρέπει την είσοδο αέρα στο σωλήνα μετά το τέλος της χορήγησης των υγρών.</w:t>
      </w:r>
    </w:p>
    <w:p>
      <w:pPr>
        <w:pStyle w:val="ListParagraph"/>
        <w:numPr>
          <w:ilvl w:val="0"/>
          <w:numId w:val="2"/>
        </w:numPr>
        <w:spacing w:lineRule="auto" w:line="240" w:before="0" w:after="0"/>
        <w:ind w:left="0" w:right="0" w:hanging="0"/>
        <w:rPr>
          <w:rFonts w:ascii="Arial" w:hAnsi="Arial"/>
          <w:sz w:val="26"/>
          <w:szCs w:val="26"/>
        </w:rPr>
      </w:pPr>
      <w:r>
        <w:rPr>
          <w:rFonts w:ascii="Arial" w:hAnsi="Arial"/>
          <w:sz w:val="26"/>
          <w:szCs w:val="26"/>
        </w:rPr>
        <w:t>Να φέρει διαβάθμιση ανά cc και αναγραφή της ανά 10 cc.</w:t>
      </w:r>
    </w:p>
    <w:p>
      <w:pPr>
        <w:pStyle w:val="ListParagraph"/>
        <w:widowControl w:val="false"/>
        <w:numPr>
          <w:ilvl w:val="0"/>
          <w:numId w:val="2"/>
        </w:numPr>
        <w:spacing w:lineRule="auto" w:line="240" w:before="0" w:after="0"/>
        <w:ind w:left="0" w:right="0" w:hanging="0"/>
        <w:rPr/>
      </w:pPr>
      <w:r>
        <w:rPr>
          <w:rFonts w:ascii="Arial" w:hAnsi="Arial"/>
          <w:sz w:val="26"/>
          <w:szCs w:val="26"/>
        </w:rPr>
        <w:t>Να φέρει στο κάτω μέρος του κύλινδρου διαφανή εύκαμπτο σταγονομετρικό θάλαμο. Ο όγκος ροής των διαλυμάτων να είναι σύμφωνα με τις διεθνείς προδιαγραφές (20 σταγόνες, μεταφερόμενος όγκος = 1ml+-0,1ml σε θερμοκρασία περιβάλλοντος 20</w:t>
      </w:r>
      <w:r>
        <w:rPr>
          <w:rFonts w:ascii="Arial" w:hAnsi="Arial"/>
          <w:sz w:val="26"/>
          <w:szCs w:val="26"/>
          <w:vertAlign w:val="superscript"/>
        </w:rPr>
        <w:t>ο</w:t>
      </w:r>
      <w:r>
        <w:rPr>
          <w:rFonts w:ascii="Arial" w:hAnsi="Arial"/>
          <w:sz w:val="26"/>
          <w:szCs w:val="26"/>
        </w:rPr>
        <w:t>c).</w:t>
      </w:r>
    </w:p>
    <w:p>
      <w:pPr>
        <w:pStyle w:val="ListParagraph"/>
        <w:numPr>
          <w:ilvl w:val="0"/>
          <w:numId w:val="2"/>
        </w:numPr>
        <w:spacing w:lineRule="auto" w:line="240" w:before="0" w:after="0"/>
        <w:ind w:left="0" w:right="0" w:hanging="0"/>
        <w:rPr>
          <w:rFonts w:ascii="Arial" w:hAnsi="Arial"/>
          <w:sz w:val="26"/>
          <w:szCs w:val="26"/>
        </w:rPr>
      </w:pPr>
      <w:r>
        <w:rPr>
          <w:rFonts w:ascii="Arial" w:hAnsi="Arial"/>
          <w:sz w:val="26"/>
          <w:szCs w:val="26"/>
        </w:rPr>
        <w:t>Να φέρει ρυθμιστή ροής με τροχό άριστης ποιότητας που να παραμένει   σταθερά στη θέση του,  να ανταποκρίνεται ανάλογα στη ζητούμενη ρύθμιση και να είναι ανοιχτός κατά την αποθήκευσή του.</w:t>
      </w:r>
    </w:p>
    <w:p>
      <w:pPr>
        <w:pStyle w:val="ListParagraph"/>
        <w:numPr>
          <w:ilvl w:val="0"/>
          <w:numId w:val="2"/>
        </w:numPr>
        <w:spacing w:lineRule="auto" w:line="240" w:before="0" w:after="0"/>
        <w:ind w:left="0" w:right="0" w:hanging="0"/>
        <w:rPr>
          <w:rFonts w:ascii="Arial" w:hAnsi="Arial"/>
          <w:sz w:val="26"/>
          <w:szCs w:val="26"/>
        </w:rPr>
      </w:pPr>
      <w:r>
        <w:rPr>
          <w:rFonts w:ascii="Arial" w:hAnsi="Arial"/>
          <w:sz w:val="26"/>
          <w:szCs w:val="26"/>
        </w:rPr>
        <w:t xml:space="preserve">Να διαθέτει εύκαμπτο, άχρωμο, διαφανή σωλήνα, μήκους περίπου 200 cm. </w:t>
      </w:r>
    </w:p>
    <w:p>
      <w:pPr>
        <w:pStyle w:val="ListParagraph"/>
        <w:numPr>
          <w:ilvl w:val="0"/>
          <w:numId w:val="2"/>
        </w:numPr>
        <w:spacing w:lineRule="auto" w:line="240" w:before="0" w:after="0"/>
        <w:ind w:left="0" w:right="0" w:hanging="0"/>
        <w:jc w:val="both"/>
        <w:rPr>
          <w:rFonts w:ascii="Arial" w:hAnsi="Arial"/>
          <w:sz w:val="26"/>
          <w:szCs w:val="26"/>
        </w:rPr>
      </w:pPr>
      <w:r>
        <w:rPr>
          <w:rFonts w:ascii="Arial" w:hAnsi="Arial"/>
          <w:sz w:val="26"/>
          <w:szCs w:val="26"/>
        </w:rPr>
        <w:t>Να φέρει πλάγια διακλάδωση τύπου «Υ» με υποδοχέα για ταυτόχρονη χορήγηση ενέσιμων διαλυμάτων από LATEX(FLASH BALL), το οποίο αποτρέπει τη διαρροή υγρών ή αέρα μετά την απομάκρυνση βελόνας έως 0,6mm.</w:t>
      </w:r>
    </w:p>
    <w:p>
      <w:pPr>
        <w:pStyle w:val="ListParagraph"/>
        <w:numPr>
          <w:ilvl w:val="0"/>
          <w:numId w:val="2"/>
        </w:numPr>
        <w:spacing w:lineRule="auto" w:line="240" w:before="0" w:after="0"/>
        <w:ind w:left="0" w:right="0" w:hanging="0"/>
        <w:rPr>
          <w:rFonts w:ascii="Arial" w:hAnsi="Arial"/>
          <w:sz w:val="26"/>
          <w:szCs w:val="26"/>
        </w:rPr>
      </w:pPr>
      <w:r>
        <w:rPr>
          <w:rFonts w:ascii="Arial" w:hAnsi="Arial"/>
          <w:sz w:val="26"/>
          <w:szCs w:val="26"/>
        </w:rPr>
        <w:t>Να φέρει υποδοχή LUER-LOCK , ώστε να εξασφαλίζεται η ασφάλεια της σύνδεσης, η οποία να φέρει αδιάβροχο αεραγωγό φίλτρο για τον εξαερισμό της συσκευής.</w:t>
      </w:r>
    </w:p>
    <w:p>
      <w:pPr>
        <w:pStyle w:val="ListParagraph"/>
        <w:widowControl w:val="false"/>
        <w:numPr>
          <w:ilvl w:val="0"/>
          <w:numId w:val="2"/>
        </w:numPr>
        <w:spacing w:lineRule="auto" w:line="240" w:before="0" w:after="0"/>
        <w:ind w:left="0" w:right="0" w:hanging="0"/>
        <w:rPr>
          <w:rFonts w:ascii="Arial" w:hAnsi="Arial"/>
          <w:sz w:val="26"/>
          <w:szCs w:val="26"/>
        </w:rPr>
      </w:pPr>
      <w:r>
        <w:rPr>
          <w:rFonts w:ascii="Arial" w:hAnsi="Arial"/>
          <w:sz w:val="26"/>
          <w:szCs w:val="26"/>
        </w:rPr>
        <w:t>Τα προστατευτικά καλύμματα να παραμένουν στη θέση τους μέχρι τη χρήση της συσκευής.</w:t>
      </w:r>
    </w:p>
    <w:p>
      <w:pPr>
        <w:pStyle w:val="ListParagraph"/>
        <w:widowControl w:val="false"/>
        <w:numPr>
          <w:ilvl w:val="0"/>
          <w:numId w:val="2"/>
        </w:numPr>
        <w:spacing w:lineRule="auto" w:line="240" w:before="0" w:after="0"/>
        <w:ind w:left="0" w:right="0" w:hanging="0"/>
        <w:rPr>
          <w:rFonts w:ascii="Arial" w:hAnsi="Arial"/>
          <w:sz w:val="26"/>
          <w:szCs w:val="26"/>
        </w:rPr>
      </w:pPr>
      <w:r>
        <w:rPr>
          <w:rFonts w:ascii="Arial" w:hAnsi="Arial"/>
          <w:sz w:val="26"/>
          <w:szCs w:val="26"/>
        </w:rPr>
        <w:t>Να διατίθεται σε ασφαλή, ατομική συσκευασία τύπου peel-pack.</w:t>
      </w:r>
    </w:p>
    <w:p>
      <w:pPr>
        <w:pStyle w:val="ListParagraph"/>
        <w:widowControl w:val="false"/>
        <w:numPr>
          <w:ilvl w:val="0"/>
          <w:numId w:val="2"/>
        </w:numPr>
        <w:spacing w:lineRule="auto" w:line="240" w:before="0" w:after="0"/>
        <w:ind w:left="0" w:right="0" w:hanging="0"/>
        <w:rPr>
          <w:rFonts w:ascii="Arial" w:hAnsi="Arial"/>
          <w:sz w:val="26"/>
          <w:szCs w:val="26"/>
        </w:rPr>
      </w:pPr>
      <w:r>
        <w:rPr>
          <w:rFonts w:ascii="Arial" w:hAnsi="Arial"/>
          <w:sz w:val="26"/>
          <w:szCs w:val="26"/>
        </w:rPr>
        <w:t>Στη συσκευασία του προϊόντος θα πρέπει να αναγράφονται στην ελληνική γλώσσα τα παρακάτω: Ονομασία της συσκευής, εμπορική ονομασία του εργοστάσιου κατασκευής, επωνυμία υπεύθυνου κυκλοφορίας,επεξηγήσεις για τη χρήση και λειτουργία της συσκευής, ενδείξεις ότι η συσκευή είναι στείρα, ελεύθερη πυρετογόνων και μιας χρήσης και για τη μέθοδο αποστείρωσης,  ημερομηνία αποστείρωσης και λήξης αυτής, ενδείξεις για το πως χρησιμοποιείται και της προειδοποίησης να γίνεται έλεγχος κατά πόσο η συσκευή είναι άθικτη, χαρακτηρισμός της παρτίδας, σήμανση CE.</w:t>
      </w:r>
    </w:p>
    <w:p>
      <w:pPr>
        <w:pStyle w:val="ListParagraph"/>
        <w:tabs>
          <w:tab w:val="left" w:pos="8193" w:leader="none"/>
        </w:tabs>
        <w:spacing w:lineRule="auto" w:line="240" w:before="0" w:after="0"/>
        <w:ind w:left="142" w:right="0" w:hanging="0"/>
        <w:rPr>
          <w:rFonts w:ascii="Arial" w:hAnsi="Arial" w:cs="Arial"/>
          <w:sz w:val="26"/>
          <w:szCs w:val="26"/>
        </w:rPr>
      </w:pPr>
      <w:r>
        <w:rPr>
          <w:rFonts w:cs="Arial" w:ascii="Arial" w:hAnsi="Arial"/>
          <w:sz w:val="26"/>
          <w:szCs w:val="26"/>
        </w:rPr>
        <w:tab/>
      </w:r>
    </w:p>
    <w:p>
      <w:pPr>
        <w:pStyle w:val="ListParagraph"/>
        <w:spacing w:lineRule="auto" w:line="240" w:before="0" w:after="0"/>
        <w:ind w:left="142" w:right="0" w:hanging="0"/>
        <w:rPr>
          <w:rFonts w:ascii="Arial" w:hAnsi="Arial" w:cs="Arial"/>
          <w:b/>
          <w:b/>
          <w:sz w:val="26"/>
          <w:szCs w:val="26"/>
        </w:rPr>
      </w:pPr>
      <w:r>
        <w:rPr>
          <w:rFonts w:cs="Arial" w:ascii="Arial" w:hAnsi="Arial"/>
          <w:b/>
          <w:sz w:val="26"/>
          <w:szCs w:val="26"/>
        </w:rPr>
        <w:t>ΠΑΡΑΤΗΡΗΣΕΙΣ</w:t>
      </w:r>
    </w:p>
    <w:p>
      <w:pPr>
        <w:pStyle w:val="ListParagraph"/>
        <w:spacing w:lineRule="auto" w:line="240" w:before="0" w:after="0"/>
        <w:ind w:left="142" w:right="0" w:hanging="0"/>
        <w:jc w:val="both"/>
        <w:rPr>
          <w:rFonts w:ascii="Arial" w:hAnsi="Arial" w:cs="Arial"/>
          <w:sz w:val="26"/>
          <w:szCs w:val="26"/>
        </w:rPr>
      </w:pPr>
      <w:r>
        <w:rPr>
          <w:rFonts w:cs="Arial" w:ascii="Arial" w:hAnsi="Arial"/>
          <w:sz w:val="26"/>
          <w:szCs w:val="26"/>
        </w:rPr>
      </w:r>
    </w:p>
    <w:p>
      <w:pPr>
        <w:pStyle w:val="ListParagraph"/>
        <w:numPr>
          <w:ilvl w:val="0"/>
          <w:numId w:val="1"/>
        </w:numPr>
        <w:suppressAutoHyphens w:val="false"/>
        <w:spacing w:lineRule="auto" w:line="240" w:before="0" w:after="0"/>
        <w:ind w:left="142" w:right="0" w:hanging="0"/>
        <w:jc w:val="both"/>
        <w:rPr>
          <w:rFonts w:ascii="Arial" w:hAnsi="Arial" w:cs="Arial"/>
          <w:sz w:val="26"/>
          <w:szCs w:val="26"/>
        </w:rPr>
      </w:pPr>
      <w:r>
        <w:rPr>
          <w:rFonts w:cs="Arial" w:ascii="Arial" w:hAnsi="Arial"/>
          <w:sz w:val="26"/>
          <w:szCs w:val="26"/>
        </w:rPr>
        <w:t>Η συσκευασία [ατομική (τεμαχίου) και μεταφοράς (κούτες)] που διατίθενται στο εμπόριο να είναι σύμφωνες με τις απαιτήσεις του πιστοποιητικού σήμανσης (CE) που διαθέτει το υλικό.</w:t>
      </w:r>
    </w:p>
    <w:p>
      <w:pPr>
        <w:pStyle w:val="ListParagraph"/>
        <w:numPr>
          <w:ilvl w:val="0"/>
          <w:numId w:val="1"/>
        </w:numPr>
        <w:suppressAutoHyphens w:val="false"/>
        <w:spacing w:lineRule="auto" w:line="240" w:before="0" w:after="0"/>
        <w:ind w:left="142" w:right="0" w:hanging="0"/>
        <w:jc w:val="both"/>
        <w:rPr>
          <w:rFonts w:ascii="Arial" w:hAnsi="Arial" w:cs="Arial"/>
          <w:sz w:val="26"/>
          <w:szCs w:val="26"/>
        </w:rPr>
      </w:pPr>
      <w:r>
        <w:rPr>
          <w:rFonts w:cs="Arial" w:ascii="Arial" w:hAnsi="Arial"/>
          <w:sz w:val="26"/>
          <w:szCs w:val="26"/>
        </w:rPr>
        <w:t>Το προς προμήθεια είδος πρέπει να είναι συσκευασμένο με τρόπο που να εξασφαλίζει την ασφαλή μεταφορά, καθώς και την καλή συντήρηση του σε περίπτωση μακροχρόνιας αποθήκευσης.</w:t>
      </w:r>
    </w:p>
    <w:p>
      <w:pPr>
        <w:pStyle w:val="ListParagraph"/>
        <w:numPr>
          <w:ilvl w:val="0"/>
          <w:numId w:val="1"/>
        </w:numPr>
        <w:suppressAutoHyphens w:val="false"/>
        <w:spacing w:lineRule="auto" w:line="240" w:before="0" w:after="0"/>
        <w:ind w:left="142" w:right="0" w:hanging="0"/>
        <w:jc w:val="both"/>
        <w:rPr>
          <w:rFonts w:ascii="Arial" w:hAnsi="Arial" w:cs="Arial"/>
          <w:sz w:val="26"/>
          <w:szCs w:val="26"/>
        </w:rPr>
      </w:pPr>
      <w:r>
        <w:rPr>
          <w:rFonts w:cs="Arial" w:ascii="Arial" w:hAnsi="Arial"/>
          <w:sz w:val="26"/>
          <w:szCs w:val="26"/>
        </w:rPr>
        <w:t>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κ.τ.λ.) και να είναι αυτά που καθορίζονται από τον πιστοποιημένο κατασκευαστή.</w:t>
      </w:r>
    </w:p>
    <w:p>
      <w:pPr>
        <w:pStyle w:val="ListParagraph"/>
        <w:spacing w:lineRule="auto" w:line="240" w:before="0" w:after="0"/>
        <w:ind w:left="142" w:right="0" w:hanging="0"/>
        <w:rPr>
          <w:rFonts w:ascii="Arial" w:hAnsi="Arial" w:cs="Arial"/>
          <w:b/>
          <w:b/>
          <w:sz w:val="26"/>
          <w:szCs w:val="26"/>
        </w:rPr>
      </w:pPr>
      <w:r>
        <w:rPr>
          <w:rFonts w:cs="Arial" w:ascii="Arial" w:hAnsi="Arial"/>
          <w:b/>
          <w:sz w:val="26"/>
          <w:szCs w:val="26"/>
        </w:rPr>
        <w:t xml:space="preserve">         </w:t>
      </w:r>
    </w:p>
    <w:p>
      <w:pPr>
        <w:pStyle w:val="Normal"/>
        <w:rPr/>
      </w:pPr>
      <w:r>
        <w:rPr>
          <w:rFonts w:eastAsia="Arial" w:cs="Arial" w:ascii="Arial" w:hAnsi="Arial"/>
          <w:b/>
          <w:sz w:val="26"/>
          <w:szCs w:val="26"/>
        </w:rPr>
        <w:t xml:space="preserve">           </w:t>
      </w:r>
      <w:r>
        <w:rPr>
          <w:rFonts w:ascii="Arial" w:hAnsi="Arial"/>
          <w:b/>
          <w:sz w:val="24"/>
        </w:rPr>
        <w:t xml:space="preserve">CPV: 33194100-7 </w:t>
      </w:r>
    </w:p>
    <w:p>
      <w:pPr>
        <w:pStyle w:val="Normal"/>
        <w:rPr/>
      </w:pPr>
      <w:r>
        <w:rPr>
          <w:rFonts w:ascii="Arial" w:hAnsi="Arial"/>
          <w:b/>
          <w:sz w:val="24"/>
        </w:rPr>
        <w:t xml:space="preserve">            </w:t>
      </w:r>
      <w:r>
        <w:rPr>
          <w:rFonts w:ascii="Arial" w:hAnsi="Arial"/>
          <w:b/>
          <w:sz w:val="24"/>
          <w:lang w:val="en-US"/>
        </w:rPr>
        <w:t>SAP 651500372703</w:t>
      </w:r>
    </w:p>
    <w:sectPr>
      <w:type w:val="nextPage"/>
      <w:pgSz w:w="11906" w:h="16838"/>
      <w:pgMar w:left="1050" w:right="707" w:header="0" w:top="851" w:footer="0" w:bottom="127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Times New Roman">
    <w:charset w:val="a1"/>
    <w:family w:val="roman"/>
    <w:pitch w:val="variable"/>
  </w:font>
  <w:font w:name="Arial">
    <w:charset w:val="a1"/>
    <w:family w:val="swiss"/>
    <w:pitch w:val="variable"/>
  </w:font>
  <w:font w:name="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el-GR" w:eastAsia="en-US" w:bidi="ar-SA"/>
      </w:rPr>
    </w:rPrDefault>
    <w:pPrDefault>
      <w:pPr>
        <w:spacing w:lineRule="auto" w:line="276"/>
      </w:pPr>
    </w:pPrDefault>
  </w:docDefaults>
  <w:style w:type="paragraph" w:styleId="Normal">
    <w:name w:val="Normal"/>
    <w:qFormat/>
    <w:pPr>
      <w:widowControl/>
      <w:numPr>
        <w:ilvl w:val="0"/>
        <w:numId w:val="0"/>
      </w:numPr>
      <w:suppressAutoHyphens w:val="true"/>
      <w:kinsoku w:val="true"/>
      <w:overflowPunct w:val="true"/>
      <w:autoSpaceDE w:val="true"/>
      <w:bidi w:val="0"/>
      <w:spacing w:lineRule="auto" w:line="276" w:before="0" w:after="200"/>
    </w:pPr>
    <w:rPr>
      <w:rFonts w:ascii="Calibri" w:hAnsi="Calibri" w:eastAsia="Calibri" w:cs="Times New Roman"/>
      <w:color w:val="auto"/>
      <w:sz w:val="22"/>
      <w:szCs w:val="22"/>
      <w:lang w:eastAsia="zh-CN" w:val="el-GR" w:bidi="ar-SA"/>
    </w:rPr>
  </w:style>
  <w:style w:type="character" w:styleId="DefaultParagraphFont">
    <w:name w:val="Default Paragraph Font"/>
    <w:qFormat/>
    <w:rPr/>
  </w:style>
  <w:style w:type="character" w:styleId="Char">
    <w:name w:val="Κείμενο πλαισίου Char"/>
    <w:basedOn w:val="DefaultParagraphFont"/>
    <w:qFormat/>
    <w:rPr>
      <w:rFonts w:ascii="Tahoma" w:hAnsi="Tahoma" w:eastAsia="Calibri" w:cs="Tahoma"/>
      <w:sz w:val="16"/>
      <w:szCs w:val="16"/>
      <w:lang w:eastAsia="zh-CN"/>
    </w:rPr>
  </w:style>
  <w:style w:type="character" w:styleId="Char1">
    <w:name w:val="Σώμα κειμένου Char"/>
    <w:basedOn w:val="DefaultParagraphFont"/>
    <w:qFormat/>
    <w:rPr>
      <w:rFonts w:ascii="Calibri" w:hAnsi="Calibri" w:eastAsia="Calibri" w:cs="Times New Roman"/>
      <w:lang w:eastAsia="zh-CN"/>
    </w:rPr>
  </w:style>
  <w:style w:type="character" w:styleId="Char11">
    <w:name w:val="Σώμα κειμένου Char1"/>
    <w:basedOn w:val="DefaultParagraphFont"/>
    <w:qFormat/>
    <w:rPr>
      <w:rFonts w:ascii="Times New Roman" w:hAnsi="Times New Roman" w:eastAsia="Arial Unicode MS" w:cs="Mangal"/>
      <w:sz w:val="24"/>
      <w:szCs w:val="24"/>
      <w:lang w:eastAsia="zh-CN" w:bidi="hi-IN"/>
    </w:rPr>
  </w:style>
  <w:style w:type="character" w:styleId="ListLabel1">
    <w:name w:val="ListLabel 1"/>
    <w:qFormat/>
    <w:rPr>
      <w:b w:val="false"/>
    </w:rPr>
  </w:style>
  <w:style w:type="character" w:styleId="ListLabel2">
    <w:name w:val="ListLabel 2"/>
    <w:qFormat/>
    <w:rPr>
      <w:rFonts w:cs="OpenSymbol"/>
    </w:rPr>
  </w:style>
  <w:style w:type="paragraph" w:styleId="Style14">
    <w:name w:val="Επικεφαλίδα"/>
    <w:basedOn w:val="Normal"/>
    <w:next w:val="Style15"/>
    <w:qFormat/>
    <w:pPr>
      <w:keepNext/>
      <w:spacing w:before="240" w:after="120"/>
    </w:pPr>
    <w:rPr>
      <w:rFonts w:ascii="Arial" w:hAnsi="Arial" w:eastAsia="Microsoft YaHei" w:cs="Mangal"/>
      <w:sz w:val="28"/>
      <w:szCs w:val="28"/>
    </w:rPr>
  </w:style>
  <w:style w:type="paragraph" w:styleId="Style15">
    <w:name w:val="Σώμα κειμένου"/>
    <w:basedOn w:val="Normal"/>
    <w:pPr>
      <w:widowControl w:val="false"/>
      <w:numPr>
        <w:ilvl w:val="0"/>
        <w:numId w:val="0"/>
      </w:numPr>
      <w:spacing w:lineRule="auto" w:line="240" w:before="0" w:after="120"/>
    </w:pPr>
    <w:rPr>
      <w:rFonts w:ascii="Times New Roman" w:hAnsi="Times New Roman" w:eastAsia="Arial Unicode MS" w:cs="Mangal"/>
      <w:sz w:val="24"/>
      <w:szCs w:val="24"/>
      <w:lang w:bidi="hi-IN"/>
    </w:rPr>
  </w:style>
  <w:style w:type="paragraph" w:styleId="Style16">
    <w:name w:val="Λίστα"/>
    <w:basedOn w:val="Style15"/>
    <w:pPr/>
    <w:rPr>
      <w:rFonts w:cs="Mangal"/>
    </w:rPr>
  </w:style>
  <w:style w:type="paragraph" w:styleId="Style17">
    <w:name w:val="Υπόμνημα"/>
    <w:basedOn w:val="Normal"/>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ListParagraph">
    <w:name w:val="List Paragraph"/>
    <w:basedOn w:val="Normal"/>
    <w:qFormat/>
    <w:pPr>
      <w:numPr>
        <w:ilvl w:val="0"/>
        <w:numId w:val="0"/>
      </w:numPr>
      <w:ind w:left="720" w:right="0" w:hanging="0"/>
    </w:pPr>
    <w:rPr/>
  </w:style>
  <w:style w:type="paragraph" w:styleId="BalloonText">
    <w:name w:val="Balloon Text"/>
    <w:basedOn w:val="Normal"/>
    <w:qFormat/>
    <w:pPr>
      <w:numPr>
        <w:ilvl w:val="0"/>
        <w:numId w:val="0"/>
      </w:numPr>
      <w:spacing w:lineRule="auto" w:line="240" w:before="0" w:after="0"/>
    </w:pPr>
    <w:rPr>
      <w:rFonts w:ascii="Tahoma" w:hAnsi="Tahoma" w:cs="Tahoma"/>
      <w:sz w:val="16"/>
      <w:szCs w:val="16"/>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137</TotalTime>
  <Application>LibreOffice/4.4.2.2$Windows_x86 LibreOffice_project/c4c7d32d0d49397cad38d62472b0bc8acff48dd6</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2021-01-26T09:29:00Z</dcterms:created>
  <dc:creator>ΜΙΧΑΗΛ XΑΤΖΗΑΝΑΓΝΩΣΤΟΥ</dc:creator>
  <dc:language>el-GR</dc:language>
  <dcterms:modified xsi:type="dcterms:W3CDTF">2021-03-25T20:42:24Z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